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EA248" w14:textId="71D1E5E8"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0B8E1349" w14:textId="71967454" w:rsidR="007404CA" w:rsidRPr="007404CA" w:rsidRDefault="00607A89" w:rsidP="007E0080">
      <w:pPr>
        <w:jc w:val="center"/>
        <w:rPr>
          <w:rFonts w:cs="Arial"/>
          <w:sz w:val="28"/>
          <w:szCs w:val="28"/>
        </w:rPr>
      </w:pPr>
      <w:r>
        <w:rPr>
          <w:rFonts w:cs="Arial"/>
          <w:b/>
          <w:bCs/>
          <w:sz w:val="28"/>
          <w:szCs w:val="28"/>
        </w:rPr>
        <w:t xml:space="preserve">Federal </w:t>
      </w:r>
      <w:r w:rsidR="00916EB3">
        <w:rPr>
          <w:rFonts w:cs="Arial"/>
          <w:b/>
          <w:bCs/>
          <w:sz w:val="28"/>
          <w:szCs w:val="28"/>
        </w:rPr>
        <w:t xml:space="preserve">Ammunition </w:t>
      </w:r>
      <w:r>
        <w:rPr>
          <w:rFonts w:cs="Arial"/>
          <w:b/>
          <w:bCs/>
          <w:sz w:val="28"/>
          <w:szCs w:val="28"/>
        </w:rPr>
        <w:t>Introduces</w:t>
      </w:r>
      <w:r w:rsidR="00916EB3">
        <w:rPr>
          <w:rFonts w:cs="Arial"/>
          <w:b/>
          <w:bCs/>
          <w:sz w:val="28"/>
          <w:szCs w:val="28"/>
        </w:rPr>
        <w:t xml:space="preserve"> New</w:t>
      </w:r>
      <w:r>
        <w:rPr>
          <w:rFonts w:cs="Arial"/>
          <w:b/>
          <w:bCs/>
          <w:sz w:val="28"/>
          <w:szCs w:val="28"/>
        </w:rPr>
        <w:t xml:space="preserve"> </w:t>
      </w:r>
      <w:r w:rsidR="00A6496B" w:rsidRPr="00A6496B">
        <w:rPr>
          <w:rFonts w:cs="Arial"/>
          <w:b/>
          <w:bCs/>
          <w:sz w:val="28"/>
          <w:szCs w:val="28"/>
        </w:rPr>
        <w:t>Practice &amp; Defend Packs</w:t>
      </w:r>
    </w:p>
    <w:p w14:paraId="5E226DB8" w14:textId="77777777" w:rsidR="00E11465" w:rsidRPr="007404CA" w:rsidRDefault="00E11465" w:rsidP="009F2F19">
      <w:pPr>
        <w:rPr>
          <w:rFonts w:cs="Arial"/>
          <w:szCs w:val="24"/>
        </w:rPr>
      </w:pPr>
    </w:p>
    <w:p w14:paraId="7EFE59BE" w14:textId="77CF0874" w:rsidR="001F51EC" w:rsidRPr="002F52E8" w:rsidRDefault="00BC4983" w:rsidP="001F51EC">
      <w:pPr>
        <w:rPr>
          <w:rFonts w:cs="Arial"/>
          <w:szCs w:val="24"/>
        </w:rPr>
      </w:pPr>
      <w:r w:rsidRPr="007404CA">
        <w:rPr>
          <w:rFonts w:cs="Arial"/>
          <w:b/>
          <w:szCs w:val="24"/>
        </w:rPr>
        <w:t>ANOKA, Minnesota</w:t>
      </w:r>
      <w:r w:rsidR="00A02FBB" w:rsidRPr="007404CA">
        <w:rPr>
          <w:rFonts w:cs="Arial"/>
          <w:b/>
          <w:szCs w:val="24"/>
        </w:rPr>
        <w:t xml:space="preserve"> –</w:t>
      </w:r>
      <w:r w:rsidR="00825EC1" w:rsidRPr="007404CA">
        <w:rPr>
          <w:rFonts w:cs="Arial"/>
          <w:b/>
          <w:szCs w:val="24"/>
        </w:rPr>
        <w:t xml:space="preserve"> </w:t>
      </w:r>
      <w:r w:rsidR="00FE4A96" w:rsidRPr="00FE4A96">
        <w:rPr>
          <w:rFonts w:cs="Arial"/>
          <w:b/>
          <w:szCs w:val="24"/>
        </w:rPr>
        <w:t>April</w:t>
      </w:r>
      <w:r w:rsidR="00D12C92" w:rsidRPr="00FE4A96">
        <w:rPr>
          <w:rFonts w:cs="Arial"/>
          <w:b/>
          <w:szCs w:val="24"/>
        </w:rPr>
        <w:t xml:space="preserve"> </w:t>
      </w:r>
      <w:r w:rsidR="00FE4A96" w:rsidRPr="00FE4A96">
        <w:rPr>
          <w:rFonts w:cs="Arial"/>
          <w:b/>
          <w:szCs w:val="24"/>
        </w:rPr>
        <w:t>15</w:t>
      </w:r>
      <w:r w:rsidR="007E0080" w:rsidRPr="00FE4A96">
        <w:rPr>
          <w:rFonts w:cs="Arial"/>
          <w:b/>
          <w:szCs w:val="24"/>
        </w:rPr>
        <w:t>, 2020</w:t>
      </w:r>
      <w:r w:rsidR="009E4649" w:rsidRPr="00FE4A96">
        <w:rPr>
          <w:rFonts w:cs="Arial"/>
          <w:b/>
          <w:szCs w:val="24"/>
        </w:rPr>
        <w:t xml:space="preserve"> </w:t>
      </w:r>
      <w:r w:rsidR="00896CE8" w:rsidRPr="00FE4A96">
        <w:rPr>
          <w:rFonts w:cs="Arial"/>
          <w:b/>
          <w:szCs w:val="24"/>
        </w:rPr>
        <w:t>–</w:t>
      </w:r>
      <w:r w:rsidR="002F52E8" w:rsidRPr="002F52E8">
        <w:rPr>
          <w:rFonts w:cs="Arial"/>
          <w:szCs w:val="24"/>
        </w:rPr>
        <w:t xml:space="preserve"> </w:t>
      </w:r>
      <w:r w:rsidR="00063C88" w:rsidRPr="00A6496B">
        <w:rPr>
          <w:rFonts w:cs="Arial"/>
          <w:szCs w:val="24"/>
        </w:rPr>
        <w:t xml:space="preserve">Pair the self-defense load proven by law enforcement with the industry’s most complete training ammunition for a combination like no other. </w:t>
      </w:r>
      <w:r w:rsidR="00063C88">
        <w:rPr>
          <w:rFonts w:cs="Arial"/>
          <w:szCs w:val="24"/>
        </w:rPr>
        <w:t xml:space="preserve">New </w:t>
      </w:r>
      <w:r w:rsidR="00063C88" w:rsidRPr="00A6496B">
        <w:rPr>
          <w:rFonts w:cs="Arial"/>
          <w:szCs w:val="24"/>
        </w:rPr>
        <w:t>Federal Practice &amp; Defend Packs include 50 HST Personal Defense</w:t>
      </w:r>
      <w:r w:rsidR="00063C88">
        <w:rPr>
          <w:rFonts w:cs="Arial"/>
          <w:szCs w:val="24"/>
          <w:vertAlign w:val="superscript"/>
        </w:rPr>
        <w:t xml:space="preserve"> </w:t>
      </w:r>
      <w:r w:rsidR="00063C88" w:rsidRPr="00A6496B">
        <w:rPr>
          <w:rFonts w:cs="Arial"/>
          <w:szCs w:val="24"/>
        </w:rPr>
        <w:t xml:space="preserve">loads and 50 </w:t>
      </w:r>
      <w:proofErr w:type="spellStart"/>
      <w:r w:rsidR="00063C88" w:rsidRPr="00A6496B">
        <w:rPr>
          <w:rFonts w:cs="Arial"/>
          <w:szCs w:val="24"/>
        </w:rPr>
        <w:t>Syntech</w:t>
      </w:r>
      <w:proofErr w:type="spellEnd"/>
      <w:r w:rsidR="00063C88" w:rsidRPr="00A6496B">
        <w:rPr>
          <w:rFonts w:cs="Arial"/>
          <w:szCs w:val="24"/>
        </w:rPr>
        <w:t xml:space="preserve"> Training Match rounds.</w:t>
      </w:r>
      <w:r w:rsidR="00063C88">
        <w:rPr>
          <w:rFonts w:cs="Arial"/>
          <w:szCs w:val="24"/>
        </w:rPr>
        <w:t xml:space="preserve"> </w:t>
      </w:r>
      <w:r w:rsidR="001F51EC">
        <w:rPr>
          <w:rFonts w:cs="Arial"/>
          <w:szCs w:val="24"/>
        </w:rPr>
        <w:t>Shipments of this product</w:t>
      </w:r>
      <w:r w:rsidR="001F51EC" w:rsidRPr="002F52E8">
        <w:rPr>
          <w:rFonts w:cs="Arial"/>
          <w:szCs w:val="24"/>
        </w:rPr>
        <w:t xml:space="preserve"> have b</w:t>
      </w:r>
      <w:r w:rsidR="001F51EC">
        <w:rPr>
          <w:rFonts w:cs="Arial"/>
          <w:szCs w:val="24"/>
        </w:rPr>
        <w:t xml:space="preserve">egun to arrive at </w:t>
      </w:r>
      <w:r w:rsidR="001F51EC" w:rsidRPr="002F52E8">
        <w:rPr>
          <w:rFonts w:cs="Arial"/>
          <w:szCs w:val="24"/>
        </w:rPr>
        <w:t>dealers.</w:t>
      </w:r>
      <w:bookmarkStart w:id="0" w:name="_GoBack"/>
      <w:bookmarkEnd w:id="0"/>
    </w:p>
    <w:p w14:paraId="201FECDE" w14:textId="77777777" w:rsidR="00266544" w:rsidRPr="002F52E8" w:rsidRDefault="00266544" w:rsidP="00266544">
      <w:pPr>
        <w:rPr>
          <w:rFonts w:cs="Arial"/>
          <w:szCs w:val="24"/>
        </w:rPr>
      </w:pPr>
    </w:p>
    <w:p w14:paraId="1F1DDF72" w14:textId="25F9CBAE" w:rsidR="00A6496B" w:rsidRPr="00A6496B" w:rsidRDefault="00063C88" w:rsidP="00A6496B">
      <w:pPr>
        <w:rPr>
          <w:rFonts w:cs="Arial"/>
          <w:szCs w:val="24"/>
        </w:rPr>
      </w:pPr>
      <w:r>
        <w:rPr>
          <w:rFonts w:cs="Arial"/>
          <w:szCs w:val="24"/>
        </w:rPr>
        <w:t>The two loads in these 100-count combo packs</w:t>
      </w:r>
      <w:r w:rsidR="00A6496B" w:rsidRPr="00A6496B">
        <w:rPr>
          <w:rFonts w:cs="Arial"/>
          <w:szCs w:val="24"/>
        </w:rPr>
        <w:t xml:space="preserve"> produce identical velocities, trajectories and point of impact for the most realistic training and utmost protection.</w:t>
      </w:r>
      <w:r>
        <w:rPr>
          <w:rFonts w:cs="Arial"/>
          <w:szCs w:val="24"/>
        </w:rPr>
        <w:t xml:space="preserve"> Two loads each with a specific purpose in one package: Practice with the </w:t>
      </w:r>
      <w:proofErr w:type="spellStart"/>
      <w:r>
        <w:rPr>
          <w:rFonts w:cs="Arial"/>
          <w:szCs w:val="24"/>
        </w:rPr>
        <w:t>Syntech</w:t>
      </w:r>
      <w:proofErr w:type="spellEnd"/>
      <w:r>
        <w:rPr>
          <w:rFonts w:cs="Arial"/>
          <w:szCs w:val="24"/>
        </w:rPr>
        <w:t xml:space="preserve"> Training Match and carry the HST.</w:t>
      </w:r>
    </w:p>
    <w:p w14:paraId="5811CCDD" w14:textId="77777777" w:rsidR="00A6496B" w:rsidRPr="00A6496B" w:rsidRDefault="00A6496B" w:rsidP="00A6496B">
      <w:pPr>
        <w:rPr>
          <w:rFonts w:cs="Arial"/>
          <w:bCs/>
          <w:szCs w:val="24"/>
        </w:rPr>
      </w:pPr>
    </w:p>
    <w:p w14:paraId="3DED19D2" w14:textId="77777777" w:rsidR="00A6496B" w:rsidRPr="00A6496B" w:rsidRDefault="00A6496B" w:rsidP="00A6496B">
      <w:pPr>
        <w:rPr>
          <w:rFonts w:cs="Arial"/>
          <w:b/>
          <w:szCs w:val="24"/>
        </w:rPr>
      </w:pPr>
      <w:r w:rsidRPr="00A6496B">
        <w:rPr>
          <w:rFonts w:cs="Arial"/>
          <w:b/>
          <w:szCs w:val="24"/>
        </w:rPr>
        <w:t>Features &amp; Benefits</w:t>
      </w:r>
    </w:p>
    <w:p w14:paraId="4C045778" w14:textId="77777777" w:rsidR="00A6496B" w:rsidRPr="00A6496B" w:rsidRDefault="00A6496B" w:rsidP="00A6496B">
      <w:pPr>
        <w:numPr>
          <w:ilvl w:val="0"/>
          <w:numId w:val="22"/>
        </w:numPr>
        <w:rPr>
          <w:rFonts w:cs="Arial"/>
          <w:bCs/>
          <w:szCs w:val="24"/>
        </w:rPr>
      </w:pPr>
      <w:r w:rsidRPr="00A6496B">
        <w:rPr>
          <w:rFonts w:cs="Arial"/>
          <w:bCs/>
          <w:szCs w:val="24"/>
        </w:rPr>
        <w:t xml:space="preserve">Ballistically paired </w:t>
      </w:r>
      <w:proofErr w:type="spellStart"/>
      <w:r w:rsidRPr="00A6496B">
        <w:rPr>
          <w:rFonts w:cs="Arial"/>
          <w:bCs/>
          <w:szCs w:val="24"/>
        </w:rPr>
        <w:t>Syntech</w:t>
      </w:r>
      <w:proofErr w:type="spellEnd"/>
      <w:r w:rsidRPr="00A6496B">
        <w:rPr>
          <w:rFonts w:cs="Arial"/>
          <w:bCs/>
          <w:szCs w:val="24"/>
        </w:rPr>
        <w:t xml:space="preserve"> Training Match and HST loads </w:t>
      </w:r>
    </w:p>
    <w:p w14:paraId="5D9C69B0" w14:textId="77777777" w:rsidR="00A6496B" w:rsidRPr="00A6496B" w:rsidRDefault="00A6496B" w:rsidP="00A6496B">
      <w:pPr>
        <w:numPr>
          <w:ilvl w:val="0"/>
          <w:numId w:val="22"/>
        </w:numPr>
        <w:rPr>
          <w:rFonts w:cs="Arial"/>
          <w:bCs/>
          <w:szCs w:val="24"/>
        </w:rPr>
      </w:pPr>
      <w:r w:rsidRPr="00A6496B">
        <w:rPr>
          <w:rFonts w:cs="Arial"/>
          <w:bCs/>
          <w:szCs w:val="24"/>
        </w:rPr>
        <w:t>Practice loads’ Total Synthetic Jacket prevents metal fouling, reduces barrel heat and friction, and minimizes splash-back against hard targets</w:t>
      </w:r>
    </w:p>
    <w:p w14:paraId="548F6FA2" w14:textId="77777777" w:rsidR="00A6496B" w:rsidRPr="00A6496B" w:rsidRDefault="00A6496B" w:rsidP="00A6496B">
      <w:pPr>
        <w:numPr>
          <w:ilvl w:val="0"/>
          <w:numId w:val="22"/>
        </w:numPr>
        <w:rPr>
          <w:rFonts w:cs="Arial"/>
          <w:bCs/>
          <w:szCs w:val="24"/>
        </w:rPr>
      </w:pPr>
      <w:r w:rsidRPr="00A6496B">
        <w:rPr>
          <w:rFonts w:cs="Arial"/>
          <w:bCs/>
          <w:szCs w:val="24"/>
        </w:rPr>
        <w:t>HST expands reliably through a variety of barriers and penetrates to ideal depths for self-defense situations</w:t>
      </w:r>
    </w:p>
    <w:p w14:paraId="3CCED7AC" w14:textId="569ECE1C" w:rsidR="00266544" w:rsidRPr="00063C88" w:rsidRDefault="00A6496B" w:rsidP="00266544">
      <w:pPr>
        <w:numPr>
          <w:ilvl w:val="0"/>
          <w:numId w:val="22"/>
        </w:numPr>
        <w:rPr>
          <w:rFonts w:cs="Arial"/>
          <w:bCs/>
          <w:szCs w:val="24"/>
        </w:rPr>
      </w:pPr>
      <w:r w:rsidRPr="00A6496B">
        <w:rPr>
          <w:rFonts w:cs="Arial"/>
          <w:bCs/>
          <w:szCs w:val="24"/>
        </w:rPr>
        <w:t>Flawless function and reliability in semi-automatic pistols</w:t>
      </w:r>
    </w:p>
    <w:p w14:paraId="39E03EF1" w14:textId="0AA3D81B" w:rsidR="00266544" w:rsidRPr="002F52E8" w:rsidRDefault="00266544" w:rsidP="00266544">
      <w:pPr>
        <w:rPr>
          <w:rFonts w:cs="Arial"/>
          <w:bCs/>
          <w:szCs w:val="24"/>
        </w:rPr>
      </w:pPr>
    </w:p>
    <w:p w14:paraId="6ADB7359" w14:textId="1B395E20" w:rsidR="00266544" w:rsidRPr="00063C88" w:rsidRDefault="002F52E8" w:rsidP="00266544">
      <w:pPr>
        <w:tabs>
          <w:tab w:val="left" w:pos="1620"/>
          <w:tab w:val="left" w:pos="6660"/>
          <w:tab w:val="left" w:pos="8730"/>
        </w:tabs>
        <w:autoSpaceDE w:val="0"/>
        <w:autoSpaceDN w:val="0"/>
        <w:adjustRightInd w:val="0"/>
        <w:rPr>
          <w:rFonts w:cs="Arial"/>
          <w:b/>
          <w:szCs w:val="24"/>
        </w:rPr>
      </w:pPr>
      <w:r w:rsidRPr="00063C88">
        <w:rPr>
          <w:rFonts w:cs="Arial"/>
          <w:b/>
          <w:szCs w:val="24"/>
        </w:rPr>
        <w:t xml:space="preserve">Part No. / Description / </w:t>
      </w:r>
      <w:r w:rsidR="00266544" w:rsidRPr="00063C88">
        <w:rPr>
          <w:rFonts w:cs="Arial"/>
          <w:b/>
          <w:szCs w:val="24"/>
        </w:rPr>
        <w:t>MSRP</w:t>
      </w:r>
    </w:p>
    <w:p w14:paraId="5C66FB87" w14:textId="0DC4090E" w:rsidR="00A6496B" w:rsidRPr="00063C88" w:rsidRDefault="00A6496B" w:rsidP="00A6496B">
      <w:pPr>
        <w:rPr>
          <w:rFonts w:cs="Arial"/>
          <w:bCs/>
          <w:sz w:val="20"/>
        </w:rPr>
      </w:pPr>
      <w:r w:rsidRPr="00063C88">
        <w:rPr>
          <w:rFonts w:cs="Arial"/>
          <w:bCs/>
          <w:sz w:val="20"/>
        </w:rPr>
        <w:t>P9HST2TM100 / 9mm Luger 147-grain 100 Round HST/</w:t>
      </w:r>
      <w:proofErr w:type="spellStart"/>
      <w:r w:rsidRPr="00063C88">
        <w:rPr>
          <w:rFonts w:cs="Arial"/>
          <w:bCs/>
          <w:sz w:val="20"/>
        </w:rPr>
        <w:t>Syntech</w:t>
      </w:r>
      <w:proofErr w:type="spellEnd"/>
      <w:r w:rsidRPr="00063C88">
        <w:rPr>
          <w:rFonts w:cs="Arial"/>
          <w:bCs/>
          <w:sz w:val="20"/>
        </w:rPr>
        <w:t xml:space="preserve"> Training Match, 1000 fps / $60.99</w:t>
      </w:r>
    </w:p>
    <w:p w14:paraId="75CC46BA" w14:textId="561CA7A8" w:rsidR="00A6496B" w:rsidRPr="00063C88" w:rsidRDefault="00A6496B" w:rsidP="00A6496B">
      <w:pPr>
        <w:rPr>
          <w:rFonts w:cs="Arial"/>
          <w:bCs/>
          <w:sz w:val="20"/>
        </w:rPr>
      </w:pPr>
      <w:r w:rsidRPr="00063C88">
        <w:rPr>
          <w:rFonts w:cs="Arial"/>
          <w:bCs/>
          <w:sz w:val="20"/>
        </w:rPr>
        <w:t>P9HST1TM100 / 9mm Luger 124-grain 100 Round HST/</w:t>
      </w:r>
      <w:proofErr w:type="spellStart"/>
      <w:r w:rsidRPr="00063C88">
        <w:rPr>
          <w:rFonts w:cs="Arial"/>
          <w:bCs/>
          <w:sz w:val="20"/>
        </w:rPr>
        <w:t>Syntech</w:t>
      </w:r>
      <w:proofErr w:type="spellEnd"/>
      <w:r w:rsidRPr="00063C88">
        <w:rPr>
          <w:rFonts w:cs="Arial"/>
          <w:bCs/>
          <w:sz w:val="20"/>
        </w:rPr>
        <w:t xml:space="preserve"> Training Match, 1150 fps / $60.99</w:t>
      </w:r>
    </w:p>
    <w:p w14:paraId="38C241DC" w14:textId="0F61C0E3" w:rsidR="00A6496B" w:rsidRPr="00063C88" w:rsidRDefault="00A6496B" w:rsidP="00A6496B">
      <w:pPr>
        <w:rPr>
          <w:rFonts w:cs="Arial"/>
          <w:bCs/>
          <w:sz w:val="20"/>
        </w:rPr>
      </w:pPr>
      <w:r w:rsidRPr="00063C88">
        <w:rPr>
          <w:rFonts w:cs="Arial"/>
          <w:bCs/>
          <w:sz w:val="20"/>
        </w:rPr>
        <w:t>P40HST1TM100 / 40 S&amp;W 180-grain 100 Round HST/</w:t>
      </w:r>
      <w:proofErr w:type="spellStart"/>
      <w:r w:rsidRPr="00063C88">
        <w:rPr>
          <w:rFonts w:cs="Arial"/>
          <w:bCs/>
          <w:sz w:val="20"/>
        </w:rPr>
        <w:t>Syntech</w:t>
      </w:r>
      <w:proofErr w:type="spellEnd"/>
      <w:r w:rsidRPr="00063C88">
        <w:rPr>
          <w:rFonts w:cs="Arial"/>
          <w:bCs/>
          <w:sz w:val="20"/>
        </w:rPr>
        <w:t xml:space="preserve"> Training Match, 1010 fps / $68.99</w:t>
      </w:r>
    </w:p>
    <w:p w14:paraId="0F656B2B" w14:textId="63593F2B" w:rsidR="00A6496B" w:rsidRPr="00063C88" w:rsidRDefault="00A6496B" w:rsidP="00A6496B">
      <w:pPr>
        <w:rPr>
          <w:rFonts w:cs="Arial"/>
          <w:bCs/>
          <w:sz w:val="20"/>
        </w:rPr>
      </w:pPr>
      <w:r w:rsidRPr="00063C88">
        <w:rPr>
          <w:rFonts w:cs="Arial"/>
          <w:bCs/>
          <w:sz w:val="20"/>
        </w:rPr>
        <w:t>P45HST2TM100 / 45 Auto 230-grain 100 Round HST/</w:t>
      </w:r>
      <w:proofErr w:type="spellStart"/>
      <w:r w:rsidRPr="00063C88">
        <w:rPr>
          <w:rFonts w:cs="Arial"/>
          <w:bCs/>
          <w:sz w:val="20"/>
        </w:rPr>
        <w:t>Syntech</w:t>
      </w:r>
      <w:proofErr w:type="spellEnd"/>
      <w:r w:rsidRPr="00063C88">
        <w:rPr>
          <w:rFonts w:cs="Arial"/>
          <w:bCs/>
          <w:sz w:val="20"/>
        </w:rPr>
        <w:t xml:space="preserve"> Training Match, 890 fps / $73.99</w:t>
      </w:r>
    </w:p>
    <w:p w14:paraId="394A57D1" w14:textId="77777777" w:rsidR="00A6496B" w:rsidRDefault="00A6496B" w:rsidP="006C278F">
      <w:pPr>
        <w:rPr>
          <w:rFonts w:cs="Arial"/>
          <w:szCs w:val="24"/>
        </w:rPr>
      </w:pPr>
    </w:p>
    <w:p w14:paraId="3387BDE2" w14:textId="04BF46E4" w:rsidR="003E4E02"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607A89">
        <w:rPr>
          <w:rFonts w:cs="Arial"/>
          <w:szCs w:val="24"/>
        </w:rPr>
        <w:t xml:space="preserve">Federal ammunition can be found at dealers nationwide or purchased online direct from Federal. For more information on all products from Federal or to shop online, visit </w:t>
      </w:r>
      <w:hyperlink r:id="rId9" w:history="1">
        <w:r w:rsidRPr="002B22EF">
          <w:rPr>
            <w:rStyle w:val="Hyperlink"/>
            <w:rFonts w:cs="Arial"/>
            <w:szCs w:val="24"/>
          </w:rPr>
          <w:t>www.federalpremium.com</w:t>
        </w:r>
      </w:hyperlink>
      <w:r w:rsidRPr="00607A89">
        <w:rPr>
          <w:rFonts w:cs="Arial"/>
          <w:szCs w:val="24"/>
        </w:rPr>
        <w:t>.</w:t>
      </w:r>
      <w:r>
        <w:rPr>
          <w:rFonts w:cs="Arial"/>
          <w:szCs w:val="24"/>
        </w:rPr>
        <w:t xml:space="preserve"> </w:t>
      </w:r>
    </w:p>
    <w:p w14:paraId="798C53AD" w14:textId="390F3DEB"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8C736D7" w14:textId="77777777" w:rsidR="00607A89"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78F1C95" w14:textId="34CF7551" w:rsidR="001E65CA" w:rsidRPr="002F52E8"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2F52E8">
        <w:rPr>
          <w:rFonts w:cs="Arial"/>
          <w:b/>
          <w:szCs w:val="24"/>
        </w:rPr>
        <w:t>Press Release Contact: JJ Reich</w:t>
      </w:r>
    </w:p>
    <w:p w14:paraId="3848510D" w14:textId="5719D73C" w:rsidR="001E65CA" w:rsidRPr="002F52E8"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Senior</w:t>
      </w:r>
      <w:r w:rsidR="00266544" w:rsidRPr="002F52E8">
        <w:rPr>
          <w:rFonts w:cs="Arial"/>
          <w:szCs w:val="24"/>
        </w:rPr>
        <w:t xml:space="preserve"> Manager</w:t>
      </w:r>
      <w:r>
        <w:rPr>
          <w:rFonts w:cs="Arial"/>
          <w:szCs w:val="24"/>
        </w:rPr>
        <w:t xml:space="preserve"> – Press Relations</w:t>
      </w:r>
    </w:p>
    <w:p w14:paraId="495A4028" w14:textId="77777777" w:rsidR="001E65CA" w:rsidRPr="002F52E8" w:rsidRDefault="001E65CA" w:rsidP="009F2F19">
      <w:pPr>
        <w:rPr>
          <w:rFonts w:cs="Arial"/>
          <w:b/>
          <w:bCs/>
          <w:szCs w:val="24"/>
        </w:rPr>
      </w:pPr>
      <w:r w:rsidRPr="002F52E8">
        <w:rPr>
          <w:rFonts w:cs="Arial"/>
          <w:szCs w:val="24"/>
        </w:rPr>
        <w:t xml:space="preserve">E-mail: </w:t>
      </w:r>
      <w:hyperlink r:id="rId10" w:history="1">
        <w:r w:rsidRPr="002F52E8">
          <w:rPr>
            <w:rStyle w:val="Hyperlink"/>
            <w:rFonts w:cs="Arial"/>
            <w:szCs w:val="24"/>
          </w:rPr>
          <w:t>VistaPressroom@VistaOutdoor.com</w:t>
        </w:r>
      </w:hyperlink>
      <w:r w:rsidRPr="002F52E8">
        <w:rPr>
          <w:rFonts w:cs="Arial"/>
          <w:szCs w:val="24"/>
        </w:rPr>
        <w:t xml:space="preserve"> </w:t>
      </w:r>
    </w:p>
    <w:p w14:paraId="265C0F9B" w14:textId="77777777" w:rsidR="001E65CA" w:rsidRPr="002F52E8" w:rsidRDefault="001E65CA" w:rsidP="009F2F19">
      <w:pPr>
        <w:rPr>
          <w:rFonts w:cs="Arial"/>
          <w:b/>
          <w:bCs/>
          <w:szCs w:val="24"/>
        </w:rPr>
      </w:pPr>
    </w:p>
    <w:p w14:paraId="2478F378" w14:textId="77777777" w:rsidR="001E65CA" w:rsidRPr="002F52E8" w:rsidRDefault="001E65CA" w:rsidP="009F2F19">
      <w:pPr>
        <w:rPr>
          <w:rFonts w:cs="Arial"/>
          <w:b/>
          <w:bCs/>
          <w:szCs w:val="24"/>
        </w:rPr>
      </w:pPr>
    </w:p>
    <w:p w14:paraId="6CF94794" w14:textId="77777777" w:rsidR="00063C88" w:rsidRDefault="00063C88" w:rsidP="009F2F19">
      <w:pPr>
        <w:rPr>
          <w:rFonts w:cs="Arial"/>
          <w:b/>
          <w:bCs/>
          <w:szCs w:val="24"/>
        </w:rPr>
      </w:pPr>
    </w:p>
    <w:p w14:paraId="749D60C4" w14:textId="7B079558" w:rsidR="001E65CA" w:rsidRPr="002F52E8" w:rsidRDefault="00A236BD" w:rsidP="009F2F19">
      <w:pPr>
        <w:rPr>
          <w:rFonts w:cs="Arial"/>
          <w:b/>
          <w:bCs/>
          <w:szCs w:val="24"/>
        </w:rPr>
      </w:pPr>
      <w:r w:rsidRPr="002F52E8">
        <w:rPr>
          <w:rFonts w:cs="Arial"/>
          <w:b/>
          <w:bCs/>
          <w:szCs w:val="24"/>
        </w:rPr>
        <w:lastRenderedPageBreak/>
        <w:t xml:space="preserve">About </w:t>
      </w:r>
      <w:r w:rsidR="00B45712" w:rsidRPr="002F52E8">
        <w:rPr>
          <w:rFonts w:cs="Arial"/>
          <w:b/>
          <w:bCs/>
          <w:szCs w:val="24"/>
        </w:rPr>
        <w:t xml:space="preserve">Federal </w:t>
      </w:r>
      <w:r w:rsidR="001E65CA" w:rsidRPr="002F52E8">
        <w:rPr>
          <w:rFonts w:cs="Arial"/>
          <w:b/>
          <w:bCs/>
          <w:szCs w:val="24"/>
        </w:rPr>
        <w:t>Ammunition</w:t>
      </w:r>
    </w:p>
    <w:p w14:paraId="72F977C2" w14:textId="465E61A2" w:rsidR="00161B99" w:rsidRPr="002F52E8" w:rsidRDefault="001E65CA" w:rsidP="00E906F1">
      <w:pPr>
        <w:rPr>
          <w:rFonts w:cs="Arial"/>
          <w:szCs w:val="24"/>
        </w:rPr>
      </w:pPr>
      <w:r w:rsidRPr="002F52E8">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2CCCDDE3" w14:textId="77777777" w:rsidR="00161B99" w:rsidRPr="002F52E8" w:rsidRDefault="00161B99" w:rsidP="009F2F19">
      <w:pPr>
        <w:rPr>
          <w:rFonts w:cs="Arial"/>
          <w:szCs w:val="24"/>
        </w:rPr>
      </w:pPr>
    </w:p>
    <w:sectPr w:rsidR="00161B99" w:rsidRPr="002F52E8"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627CE" w14:textId="77777777" w:rsidR="00DF113F" w:rsidRDefault="00DF113F">
      <w:r>
        <w:separator/>
      </w:r>
    </w:p>
  </w:endnote>
  <w:endnote w:type="continuationSeparator" w:id="0">
    <w:p w14:paraId="328F3AA3" w14:textId="77777777" w:rsidR="00DF113F" w:rsidRDefault="00D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6FFE" w14:textId="77777777" w:rsidR="00DF113F" w:rsidRDefault="00DF113F">
      <w:r>
        <w:separator/>
      </w:r>
    </w:p>
  </w:footnote>
  <w:footnote w:type="continuationSeparator" w:id="0">
    <w:p w14:paraId="53ECB186" w14:textId="77777777" w:rsidR="00DF113F" w:rsidRDefault="00DF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6C7306"/>
    <w:multiLevelType w:val="hybridMultilevel"/>
    <w:tmpl w:val="FE60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16"/>
  </w:num>
  <w:num w:numId="5">
    <w:abstractNumId w:val="14"/>
  </w:num>
  <w:num w:numId="6">
    <w:abstractNumId w:val="11"/>
  </w:num>
  <w:num w:numId="7">
    <w:abstractNumId w:val="0"/>
  </w:num>
  <w:num w:numId="8">
    <w:abstractNumId w:val="15"/>
  </w:num>
  <w:num w:numId="9">
    <w:abstractNumId w:val="2"/>
  </w:num>
  <w:num w:numId="10">
    <w:abstractNumId w:val="12"/>
  </w:num>
  <w:num w:numId="11">
    <w:abstractNumId w:val="5"/>
  </w:num>
  <w:num w:numId="12">
    <w:abstractNumId w:val="9"/>
  </w:num>
  <w:num w:numId="13">
    <w:abstractNumId w:val="7"/>
  </w:num>
  <w:num w:numId="14">
    <w:abstractNumId w:val="8"/>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5"/>
  </w:num>
  <w:num w:numId="20">
    <w:abstractNumId w:val="6"/>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3C88"/>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51EC"/>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496B"/>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A96"/>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E8D3-1802-4DD3-86AA-A1C6071C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2902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Reich, JJ (John)</cp:lastModifiedBy>
  <cp:revision>23</cp:revision>
  <cp:lastPrinted>2016-11-30T19:44:00Z</cp:lastPrinted>
  <dcterms:created xsi:type="dcterms:W3CDTF">2019-10-23T15:37:00Z</dcterms:created>
  <dcterms:modified xsi:type="dcterms:W3CDTF">2020-04-15T17:45:00Z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